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B0" w:rsidRDefault="00E265B0" w:rsidP="00E265B0">
      <w:pPr>
        <w:pStyle w:val="Pojem"/>
        <w:pageBreakBefore/>
      </w:pPr>
      <w:proofErr w:type="spellStart"/>
      <w:r>
        <w:t>durace</w:t>
      </w:r>
      <w:proofErr w:type="spellEnd"/>
    </w:p>
    <w:p w:rsidR="00E265B0" w:rsidRDefault="00E265B0" w:rsidP="00E265B0">
      <w:pPr>
        <w:spacing w:after="0" w:line="240" w:lineRule="auto"/>
        <w:jc w:val="both"/>
        <w:rPr>
          <w:rFonts w:ascii="Calibri" w:eastAsia="Times New Roman" w:hAnsi="Calibri" w:cs="Calibri"/>
          <w:bCs/>
          <w:color w:val="000000"/>
        </w:rPr>
      </w:pPr>
      <w:proofErr w:type="spellStart"/>
      <w:r w:rsidRPr="008C00A5">
        <w:rPr>
          <w:rFonts w:ascii="Calibri" w:eastAsia="Times New Roman" w:hAnsi="Calibri" w:cs="Calibri"/>
          <w:b/>
          <w:bCs/>
          <w:color w:val="000000"/>
        </w:rPr>
        <w:t>Durace</w:t>
      </w:r>
      <w:proofErr w:type="spellEnd"/>
      <w:r>
        <w:rPr>
          <w:rFonts w:ascii="Calibri" w:eastAsia="Times New Roman" w:hAnsi="Calibri" w:cs="Calibri"/>
          <w:bCs/>
          <w:color w:val="000000"/>
        </w:rPr>
        <w:t xml:space="preserve"> je v</w:t>
      </w:r>
      <w:r w:rsidRPr="008C00A5">
        <w:rPr>
          <w:rFonts w:ascii="Calibri" w:eastAsia="Times New Roman" w:hAnsi="Calibri" w:cs="Calibri"/>
          <w:bCs/>
          <w:color w:val="000000"/>
        </w:rPr>
        <w:t>ýznamný ukazatel, který se používá při řízení úrokového rizika. Představuje průměrnou dobu, za kterou investor získá veškeré budoucí příjmy z dluhopisu. Je konstruován jako vážený průměr jednotlivých období, kde vahami jsou současné hodnoty budoucích příjmů p</w:t>
      </w:r>
      <w:r>
        <w:rPr>
          <w:rFonts w:ascii="Calibri" w:eastAsia="Times New Roman" w:hAnsi="Calibri" w:cs="Calibri"/>
          <w:bCs/>
          <w:color w:val="000000"/>
        </w:rPr>
        <w:t xml:space="preserve">říslušných jednotlivým obdobím. Zjednodušeně řečeno je to </w:t>
      </w:r>
      <w:r w:rsidRPr="00DB1765">
        <w:rPr>
          <w:rFonts w:ascii="Calibri" w:eastAsia="Times New Roman" w:hAnsi="Calibri" w:cs="Calibri"/>
          <w:bCs/>
          <w:color w:val="000000"/>
        </w:rPr>
        <w:t>průměrná doba potřebná k pokrytí investovaných zdrojů příjmy z investice.</w:t>
      </w:r>
    </w:p>
    <w:p w:rsidR="00E265B0" w:rsidRPr="008C00A5" w:rsidRDefault="00E265B0" w:rsidP="00E265B0">
      <w:pPr>
        <w:spacing w:after="0" w:line="240" w:lineRule="auto"/>
        <w:jc w:val="both"/>
        <w:rPr>
          <w:rFonts w:ascii="Calibri" w:eastAsia="Times New Roman" w:hAnsi="Calibri" w:cs="Calibri"/>
          <w:bCs/>
          <w:color w:val="000000"/>
        </w:rPr>
      </w:pPr>
      <w:r w:rsidRPr="008C00A5">
        <w:rPr>
          <w:rFonts w:ascii="Calibri" w:eastAsia="Times New Roman" w:hAnsi="Calibri" w:cs="Calibri"/>
          <w:bCs/>
          <w:color w:val="000000"/>
        </w:rPr>
        <w:t xml:space="preserve">S růstem </w:t>
      </w:r>
      <w:proofErr w:type="spellStart"/>
      <w:r w:rsidRPr="008C00A5">
        <w:rPr>
          <w:rFonts w:ascii="Calibri" w:eastAsia="Times New Roman" w:hAnsi="Calibri" w:cs="Calibri"/>
          <w:bCs/>
          <w:color w:val="000000"/>
        </w:rPr>
        <w:t>durace</w:t>
      </w:r>
      <w:proofErr w:type="spellEnd"/>
      <w:r w:rsidRPr="008C00A5">
        <w:rPr>
          <w:rFonts w:ascii="Calibri" w:eastAsia="Times New Roman" w:hAnsi="Calibri" w:cs="Calibri"/>
          <w:bCs/>
          <w:color w:val="000000"/>
        </w:rPr>
        <w:t xml:space="preserve"> roste riziko spojené s investicí do daného dluhopisu.</w:t>
      </w:r>
    </w:p>
    <w:p w:rsidR="00E265B0" w:rsidRPr="008C00A5" w:rsidRDefault="00E265B0" w:rsidP="00E265B0">
      <w:pPr>
        <w:spacing w:after="0" w:line="240" w:lineRule="auto"/>
        <w:jc w:val="both"/>
        <w:rPr>
          <w:rFonts w:ascii="Calibri" w:eastAsia="Times New Roman" w:hAnsi="Calibri" w:cs="Calibri"/>
          <w:bCs/>
          <w:color w:val="000000"/>
        </w:rPr>
      </w:pPr>
      <w:r w:rsidRPr="00DB1765">
        <w:rPr>
          <w:rFonts w:ascii="Calibri" w:eastAsia="Times New Roman" w:hAnsi="Calibri" w:cs="Calibri"/>
          <w:bCs/>
          <w:color w:val="000000"/>
        </w:rPr>
        <w:t xml:space="preserve">Čím je hodnota </w:t>
      </w:r>
      <w:proofErr w:type="spellStart"/>
      <w:r w:rsidRPr="00DB1765">
        <w:rPr>
          <w:rFonts w:ascii="Calibri" w:eastAsia="Times New Roman" w:hAnsi="Calibri" w:cs="Calibri"/>
          <w:bCs/>
          <w:color w:val="000000"/>
        </w:rPr>
        <w:t>durace</w:t>
      </w:r>
      <w:proofErr w:type="spellEnd"/>
      <w:r w:rsidRPr="00DB1765">
        <w:rPr>
          <w:rFonts w:ascii="Calibri" w:eastAsia="Times New Roman" w:hAnsi="Calibri" w:cs="Calibri"/>
          <w:bCs/>
          <w:color w:val="000000"/>
        </w:rPr>
        <w:t xml:space="preserve"> větší, tím citlivější bude dluhový instrument na změnu tržní úrokové míry.</w:t>
      </w:r>
    </w:p>
    <w:p w:rsidR="00E265B0" w:rsidRPr="008C00A5" w:rsidRDefault="00E265B0" w:rsidP="00E265B0">
      <w:pPr>
        <w:spacing w:after="0" w:line="240" w:lineRule="auto"/>
        <w:jc w:val="both"/>
        <w:rPr>
          <w:rFonts w:ascii="Calibri" w:eastAsia="Times New Roman" w:hAnsi="Calibri" w:cs="Calibri"/>
          <w:bCs/>
          <w:color w:val="000000"/>
        </w:rPr>
      </w:pPr>
    </w:p>
    <w:p w:rsidR="00E265B0" w:rsidRDefault="00E265B0" w:rsidP="00E265B0">
      <w:pPr>
        <w:spacing w:after="0" w:line="240" w:lineRule="auto"/>
        <w:jc w:val="both"/>
        <w:rPr>
          <w:rFonts w:ascii="Calibri" w:eastAsia="Times New Roman" w:hAnsi="Calibri" w:cs="Calibri"/>
          <w:bCs/>
          <w:color w:val="000000"/>
        </w:rPr>
      </w:pPr>
      <w:r w:rsidRPr="00DB1765">
        <w:rPr>
          <w:rFonts w:ascii="Calibri" w:eastAsia="Times New Roman" w:hAnsi="Calibri" w:cs="Calibri"/>
          <w:bCs/>
          <w:color w:val="000000"/>
        </w:rPr>
        <w:t>Nejznámější</w:t>
      </w:r>
      <w:r>
        <w:rPr>
          <w:rFonts w:ascii="Calibri" w:eastAsia="Times New Roman" w:hAnsi="Calibri" w:cs="Calibri"/>
          <w:bCs/>
          <w:color w:val="000000"/>
        </w:rPr>
        <w:t xml:space="preserve"> je</w:t>
      </w:r>
      <w:r w:rsidRPr="00DB1765">
        <w:rPr>
          <w:rFonts w:ascii="Calibri" w:eastAsia="Times New Roman" w:hAnsi="Calibri" w:cs="Calibri"/>
          <w:bCs/>
          <w:color w:val="000000"/>
        </w:rPr>
        <w:t xml:space="preserve"> tzv. </w:t>
      </w:r>
      <w:hyperlink r:id="rId5" w:tooltip="Macaulayova durace (stránka neexistuje)" w:history="1">
        <w:proofErr w:type="spellStart"/>
        <w:r w:rsidRPr="00DB1765">
          <w:rPr>
            <w:rFonts w:ascii="Calibri" w:eastAsia="Times New Roman" w:hAnsi="Calibri" w:cs="Calibri"/>
            <w:bCs/>
            <w:color w:val="000000"/>
          </w:rPr>
          <w:t>Macaulayova</w:t>
        </w:r>
        <w:proofErr w:type="spellEnd"/>
        <w:r w:rsidRPr="00DB1765">
          <w:rPr>
            <w:rFonts w:ascii="Calibri" w:eastAsia="Times New Roman" w:hAnsi="Calibri" w:cs="Calibri"/>
            <w:bCs/>
            <w:color w:val="000000"/>
          </w:rPr>
          <w:t xml:space="preserve"> </w:t>
        </w:r>
        <w:proofErr w:type="spellStart"/>
        <w:r w:rsidRPr="00DB1765">
          <w:rPr>
            <w:rFonts w:ascii="Calibri" w:eastAsia="Times New Roman" w:hAnsi="Calibri" w:cs="Calibri"/>
            <w:bCs/>
            <w:color w:val="000000"/>
          </w:rPr>
          <w:t>durace</w:t>
        </w:r>
        <w:proofErr w:type="spellEnd"/>
      </w:hyperlink>
      <w:r w:rsidRPr="00DB1765">
        <w:rPr>
          <w:rFonts w:ascii="Calibri" w:eastAsia="Times New Roman" w:hAnsi="Calibri" w:cs="Calibri"/>
          <w:bCs/>
          <w:color w:val="000000"/>
        </w:rPr>
        <w:t xml:space="preserve">, </w:t>
      </w:r>
      <w:r>
        <w:rPr>
          <w:rFonts w:ascii="Calibri" w:eastAsia="Times New Roman" w:hAnsi="Calibri" w:cs="Calibri"/>
          <w:bCs/>
          <w:color w:val="000000"/>
        </w:rPr>
        <w:t>kterou vyjadřuje následující vzorec:</w:t>
      </w:r>
    </w:p>
    <w:p w:rsidR="00E265B0" w:rsidRDefault="00E265B0" w:rsidP="00E265B0">
      <w:pPr>
        <w:spacing w:after="0" w:line="240" w:lineRule="auto"/>
        <w:jc w:val="both"/>
        <w:rPr>
          <w:rFonts w:ascii="Calibri" w:eastAsia="Times New Roman" w:hAnsi="Calibri" w:cs="Calibri"/>
          <w:bCs/>
          <w:color w:val="000000"/>
        </w:rPr>
      </w:pPr>
    </w:p>
    <w:p w:rsidR="00E265B0" w:rsidRPr="00500BB4" w:rsidRDefault="00E265B0" w:rsidP="00E265B0">
      <w:pPr>
        <w:ind w:left="708" w:firstLine="708"/>
        <w:rPr>
          <w:lang w:val="en"/>
        </w:rPr>
      </w:pPr>
      <m:oMathPara>
        <m:oMathParaPr>
          <m:jc m:val="left"/>
        </m:oMathParaPr>
        <m:oMath>
          <m:r>
            <w:rPr>
              <w:rFonts w:ascii="Cambria Math" w:hAnsi="Cambria Math"/>
              <w:lang w:val="en"/>
            </w:rPr>
            <m:t>D=</m:t>
          </m:r>
          <m:nary>
            <m:naryPr>
              <m:chr m:val="∑"/>
              <m:limLoc m:val="undOvr"/>
              <m:ctrlPr>
                <w:rPr>
                  <w:rFonts w:ascii="Cambria Math" w:hAnsi="Cambria Math"/>
                  <w:i/>
                  <w:lang w:val="en"/>
                </w:rPr>
              </m:ctrlPr>
            </m:naryPr>
            <m:sub>
              <m:r>
                <w:rPr>
                  <w:rFonts w:ascii="Cambria Math" w:hAnsi="Cambria Math"/>
                  <w:lang w:val="en"/>
                </w:rPr>
                <m:t>i=1</m:t>
              </m:r>
            </m:sub>
            <m:sup>
              <m:r>
                <w:rPr>
                  <w:rFonts w:ascii="Cambria Math" w:hAnsi="Cambria Math"/>
                  <w:lang w:val="en"/>
                </w:rPr>
                <m:t>n</m:t>
              </m:r>
            </m:sup>
            <m:e>
              <m:sSub>
                <m:sSubPr>
                  <m:ctrlPr>
                    <w:rPr>
                      <w:rFonts w:ascii="Cambria Math" w:hAnsi="Cambria Math"/>
                      <w:i/>
                      <w:lang w:val="en"/>
                    </w:rPr>
                  </m:ctrlPr>
                </m:sSubPr>
                <m:e>
                  <m:r>
                    <w:rPr>
                      <w:rFonts w:ascii="Cambria Math" w:hAnsi="Cambria Math"/>
                      <w:lang w:val="en"/>
                    </w:rPr>
                    <m:t>t</m:t>
                  </m:r>
                </m:e>
                <m:sub>
                  <m:r>
                    <w:rPr>
                      <w:rFonts w:ascii="Cambria Math" w:hAnsi="Cambria Math"/>
                      <w:lang w:val="en"/>
                    </w:rPr>
                    <m:t>i</m:t>
                  </m:r>
                </m:sub>
              </m:sSub>
              <m:f>
                <m:fPr>
                  <m:ctrlPr>
                    <w:rPr>
                      <w:rFonts w:ascii="Cambria Math" w:hAnsi="Cambria Math"/>
                      <w:i/>
                      <w:lang w:val="en"/>
                    </w:rPr>
                  </m:ctrlPr>
                </m:fPr>
                <m:num>
                  <m:sSub>
                    <m:sSubPr>
                      <m:ctrlPr>
                        <w:rPr>
                          <w:rFonts w:ascii="Cambria Math" w:hAnsi="Cambria Math"/>
                          <w:i/>
                          <w:lang w:val="en"/>
                        </w:rPr>
                      </m:ctrlPr>
                    </m:sSubPr>
                    <m:e>
                      <m:r>
                        <w:rPr>
                          <w:rFonts w:ascii="Cambria Math" w:hAnsi="Cambria Math"/>
                          <w:lang w:val="en"/>
                        </w:rPr>
                        <m:t>CF</m:t>
                      </m:r>
                    </m:e>
                    <m:sub>
                      <m:r>
                        <w:rPr>
                          <w:rFonts w:ascii="Cambria Math" w:hAnsi="Cambria Math"/>
                          <w:lang w:val="en"/>
                        </w:rPr>
                        <m:t>i</m:t>
                      </m:r>
                    </m:sub>
                  </m:sSub>
                  <m:r>
                    <w:rPr>
                      <w:rFonts w:ascii="Cambria Math" w:hAnsi="Cambria Math"/>
                      <w:lang w:val="en"/>
                    </w:rPr>
                    <m:t>∙</m:t>
                  </m:r>
                  <m:sSup>
                    <m:sSupPr>
                      <m:ctrlPr>
                        <w:rPr>
                          <w:rFonts w:ascii="Cambria Math" w:hAnsi="Cambria Math"/>
                          <w:i/>
                          <w:lang w:val="en"/>
                        </w:rPr>
                      </m:ctrlPr>
                    </m:sSupPr>
                    <m:e>
                      <m:r>
                        <w:rPr>
                          <w:rFonts w:ascii="Cambria Math" w:hAnsi="Cambria Math"/>
                          <w:lang w:val="en"/>
                        </w:rPr>
                        <m:t>e</m:t>
                      </m:r>
                    </m:e>
                    <m:sup>
                      <m:r>
                        <w:rPr>
                          <w:rFonts w:ascii="Cambria Math" w:hAnsi="Cambria Math"/>
                          <w:lang w:val="en"/>
                        </w:rPr>
                        <m:t>-y∙</m:t>
                      </m:r>
                      <m:sSub>
                        <m:sSubPr>
                          <m:ctrlPr>
                            <w:rPr>
                              <w:rFonts w:ascii="Cambria Math" w:hAnsi="Cambria Math"/>
                              <w:i/>
                              <w:lang w:val="en"/>
                            </w:rPr>
                          </m:ctrlPr>
                        </m:sSubPr>
                        <m:e>
                          <m:r>
                            <w:rPr>
                              <w:rFonts w:ascii="Cambria Math" w:hAnsi="Cambria Math"/>
                              <w:lang w:val="en"/>
                            </w:rPr>
                            <m:t>t</m:t>
                          </m:r>
                        </m:e>
                        <m:sub>
                          <m:r>
                            <w:rPr>
                              <w:rFonts w:ascii="Cambria Math" w:hAnsi="Cambria Math"/>
                              <w:lang w:val="en"/>
                            </w:rPr>
                            <m:t>i</m:t>
                          </m:r>
                        </m:sub>
                      </m:sSub>
                    </m:sup>
                  </m:sSup>
                </m:num>
                <m:den>
                  <m:r>
                    <w:rPr>
                      <w:rFonts w:ascii="Cambria Math" w:hAnsi="Cambria Math"/>
                      <w:lang w:val="en"/>
                    </w:rPr>
                    <m:t>V</m:t>
                  </m:r>
                </m:den>
              </m:f>
            </m:e>
          </m:nary>
        </m:oMath>
      </m:oMathPara>
    </w:p>
    <w:p w:rsidR="00E265B0" w:rsidRDefault="00E265B0" w:rsidP="00E265B0">
      <w:pPr>
        <w:spacing w:after="0" w:line="240" w:lineRule="auto"/>
        <w:jc w:val="both"/>
        <w:rPr>
          <w:rFonts w:ascii="Calibri" w:eastAsia="Times New Roman" w:hAnsi="Calibri" w:cs="Calibri"/>
          <w:bCs/>
          <w:color w:val="000000"/>
        </w:rPr>
      </w:pPr>
      <w:r>
        <w:rPr>
          <w:rFonts w:ascii="Calibri" w:eastAsia="Times New Roman" w:hAnsi="Calibri" w:cs="Calibri"/>
          <w:bCs/>
          <w:color w:val="000000"/>
        </w:rPr>
        <w:t>kde:</w:t>
      </w:r>
    </w:p>
    <w:p w:rsidR="00E265B0" w:rsidRPr="0036145D" w:rsidRDefault="00E265B0" w:rsidP="00E265B0">
      <w:pPr>
        <w:spacing w:after="0" w:line="240" w:lineRule="auto"/>
        <w:ind w:left="284"/>
        <w:jc w:val="both"/>
        <w:rPr>
          <w:rFonts w:ascii="Calibri" w:eastAsia="Times New Roman" w:hAnsi="Calibri" w:cs="Calibri"/>
          <w:bCs/>
          <w:color w:val="000000"/>
        </w:rPr>
      </w:pPr>
      <w:proofErr w:type="spellStart"/>
      <w:r w:rsidRPr="0036145D">
        <w:rPr>
          <w:rFonts w:ascii="Calibri" w:eastAsia="Times New Roman" w:hAnsi="Calibri" w:cs="Calibri"/>
          <w:bCs/>
          <w:i/>
          <w:color w:val="000000"/>
        </w:rPr>
        <w:t>CF</w:t>
      </w:r>
      <w:r w:rsidRPr="0036145D">
        <w:rPr>
          <w:rFonts w:ascii="Calibri" w:eastAsia="Times New Roman" w:hAnsi="Calibri" w:cs="Calibri"/>
          <w:bCs/>
          <w:i/>
          <w:color w:val="000000"/>
          <w:vertAlign w:val="subscript"/>
        </w:rPr>
        <w:t>i</w:t>
      </w:r>
      <w:proofErr w:type="spellEnd"/>
      <w:r w:rsidRPr="0036145D">
        <w:rPr>
          <w:rFonts w:ascii="Calibri" w:eastAsia="Times New Roman" w:hAnsi="Calibri" w:cs="Calibri"/>
          <w:bCs/>
          <w:color w:val="000000"/>
        </w:rPr>
        <w:t xml:space="preserve"> </w:t>
      </w:r>
      <w:r>
        <w:rPr>
          <w:rFonts w:ascii="Calibri" w:eastAsia="Times New Roman" w:hAnsi="Calibri" w:cs="Calibri"/>
          <w:bCs/>
          <w:color w:val="000000"/>
        </w:rPr>
        <w:t>je peněžní příjem z</w:t>
      </w:r>
      <w:r w:rsidRPr="0036145D">
        <w:rPr>
          <w:rFonts w:ascii="Calibri" w:eastAsia="Times New Roman" w:hAnsi="Calibri" w:cs="Calibri"/>
          <w:bCs/>
          <w:color w:val="000000"/>
        </w:rPr>
        <w:t xml:space="preserve"> i-</w:t>
      </w:r>
      <w:r>
        <w:rPr>
          <w:rFonts w:ascii="Calibri" w:eastAsia="Times New Roman" w:hAnsi="Calibri" w:cs="Calibri"/>
          <w:bCs/>
          <w:color w:val="000000"/>
        </w:rPr>
        <w:t>té platby plynoucí z aktiva</w:t>
      </w:r>
      <w:r w:rsidRPr="0036145D">
        <w:rPr>
          <w:rFonts w:ascii="Calibri" w:eastAsia="Times New Roman" w:hAnsi="Calibri" w:cs="Calibri"/>
          <w:bCs/>
          <w:color w:val="000000"/>
        </w:rPr>
        <w:t>,</w:t>
      </w:r>
    </w:p>
    <w:p w:rsidR="00E265B0" w:rsidRPr="0036145D" w:rsidRDefault="00E265B0" w:rsidP="00E265B0">
      <w:pPr>
        <w:pStyle w:val="Odstavecseseznamem"/>
        <w:spacing w:after="0" w:line="240" w:lineRule="auto"/>
        <w:ind w:left="284"/>
        <w:jc w:val="both"/>
        <w:rPr>
          <w:rFonts w:ascii="Calibri" w:eastAsia="Times New Roman" w:hAnsi="Calibri" w:cs="Calibri"/>
          <w:bCs/>
          <w:color w:val="000000"/>
        </w:rPr>
      </w:pPr>
      <w:r w:rsidRPr="0036145D">
        <w:rPr>
          <w:rFonts w:ascii="Calibri" w:eastAsia="Times New Roman" w:hAnsi="Calibri" w:cs="Calibri"/>
          <w:bCs/>
          <w:i/>
          <w:color w:val="000000"/>
        </w:rPr>
        <w:t>t</w:t>
      </w:r>
      <w:r w:rsidRPr="0036145D">
        <w:rPr>
          <w:rFonts w:ascii="Calibri" w:eastAsia="Times New Roman" w:hAnsi="Calibri" w:cs="Calibri"/>
          <w:bCs/>
          <w:i/>
          <w:color w:val="000000"/>
          <w:vertAlign w:val="subscript"/>
        </w:rPr>
        <w:t>i</w:t>
      </w:r>
      <w:r w:rsidRPr="0036145D">
        <w:rPr>
          <w:rFonts w:ascii="Calibri" w:eastAsia="Times New Roman" w:hAnsi="Calibri" w:cs="Calibri"/>
          <w:bCs/>
          <w:color w:val="000000"/>
        </w:rPr>
        <w:t xml:space="preserve"> </w:t>
      </w:r>
      <w:r>
        <w:rPr>
          <w:rFonts w:ascii="Calibri" w:eastAsia="Times New Roman" w:hAnsi="Calibri" w:cs="Calibri"/>
          <w:bCs/>
          <w:color w:val="000000"/>
        </w:rPr>
        <w:t>je čas v letech do doby, kdy obdržíme i-tou platbu</w:t>
      </w:r>
      <w:r w:rsidRPr="0036145D">
        <w:rPr>
          <w:rFonts w:ascii="Calibri" w:eastAsia="Times New Roman" w:hAnsi="Calibri" w:cs="Calibri"/>
          <w:bCs/>
          <w:color w:val="000000"/>
        </w:rPr>
        <w:t>,</w:t>
      </w:r>
    </w:p>
    <w:p w:rsidR="00E265B0" w:rsidRPr="0036145D" w:rsidRDefault="00E265B0" w:rsidP="00E265B0">
      <w:pPr>
        <w:pStyle w:val="Odstavecseseznamem"/>
        <w:spacing w:after="0" w:line="240" w:lineRule="auto"/>
        <w:ind w:left="284"/>
        <w:jc w:val="both"/>
        <w:rPr>
          <w:rFonts w:ascii="Calibri" w:eastAsia="Times New Roman" w:hAnsi="Calibri" w:cs="Calibri"/>
          <w:bCs/>
          <w:color w:val="000000"/>
        </w:rPr>
      </w:pPr>
      <w:r w:rsidRPr="0036145D">
        <w:rPr>
          <w:rFonts w:eastAsia="Times New Roman"/>
          <w:i/>
        </w:rPr>
        <w:t>y</w:t>
      </w:r>
      <w:r w:rsidRPr="0036145D">
        <w:rPr>
          <w:rFonts w:eastAsia="Times New Roman"/>
        </w:rPr>
        <w:t xml:space="preserve"> </w:t>
      </w:r>
      <w:r>
        <w:rPr>
          <w:rFonts w:eastAsia="Times New Roman"/>
        </w:rPr>
        <w:t xml:space="preserve">je </w:t>
      </w:r>
      <w:r>
        <w:rPr>
          <w:rFonts w:ascii="Calibri" w:eastAsia="Times New Roman" w:hAnsi="Calibri" w:cs="Calibri"/>
          <w:bCs/>
          <w:color w:val="000000"/>
        </w:rPr>
        <w:t>výnos do splatnosti</w:t>
      </w:r>
      <w:r w:rsidRPr="0036145D">
        <w:rPr>
          <w:rFonts w:ascii="Calibri" w:eastAsia="Times New Roman" w:hAnsi="Calibri" w:cs="Calibri"/>
          <w:bCs/>
          <w:color w:val="000000"/>
        </w:rPr>
        <w:t>,</w:t>
      </w:r>
    </w:p>
    <w:p w:rsidR="00E265B0" w:rsidRPr="008C00A5" w:rsidRDefault="00E265B0" w:rsidP="00E265B0">
      <w:pPr>
        <w:spacing w:after="0" w:line="240" w:lineRule="auto"/>
        <w:ind w:left="284"/>
        <w:jc w:val="both"/>
        <w:rPr>
          <w:rFonts w:ascii="Calibri" w:eastAsia="Times New Roman" w:hAnsi="Calibri" w:cs="Calibri"/>
          <w:bCs/>
          <w:color w:val="000000"/>
        </w:rPr>
      </w:pPr>
      <w:r w:rsidRPr="0036145D">
        <w:rPr>
          <w:rFonts w:ascii="Calibri" w:eastAsia="Times New Roman" w:hAnsi="Calibri" w:cs="Calibri"/>
          <w:bCs/>
          <w:i/>
          <w:color w:val="000000"/>
        </w:rPr>
        <w:t>V</w:t>
      </w:r>
      <w:r>
        <w:rPr>
          <w:rFonts w:ascii="Calibri" w:eastAsia="Times New Roman" w:hAnsi="Calibri" w:cs="Calibri"/>
          <w:bCs/>
          <w:color w:val="000000"/>
        </w:rPr>
        <w:t> </w:t>
      </w:r>
      <w:proofErr w:type="gramStart"/>
      <w:r>
        <w:rPr>
          <w:rFonts w:ascii="Calibri" w:eastAsia="Times New Roman" w:hAnsi="Calibri" w:cs="Calibri"/>
          <w:bCs/>
          <w:color w:val="000000"/>
        </w:rPr>
        <w:t>je</w:t>
      </w:r>
      <w:proofErr w:type="gramEnd"/>
      <w:r>
        <w:rPr>
          <w:rFonts w:ascii="Calibri" w:eastAsia="Times New Roman" w:hAnsi="Calibri" w:cs="Calibri"/>
          <w:bCs/>
          <w:color w:val="000000"/>
        </w:rPr>
        <w:t xml:space="preserve"> současná hodnota všech budoucích plateb z aktiva až do okamžiku splatnosti</w:t>
      </w:r>
      <w:r w:rsidRPr="0036145D">
        <w:rPr>
          <w:rFonts w:ascii="Calibri" w:eastAsia="Times New Roman" w:hAnsi="Calibri" w:cs="Calibri"/>
          <w:bCs/>
          <w:color w:val="000000"/>
        </w:rPr>
        <w:t>.</w:t>
      </w:r>
    </w:p>
    <w:p w:rsidR="00E265B0" w:rsidRDefault="00E265B0" w:rsidP="00E265B0">
      <w:pPr>
        <w:spacing w:after="0" w:line="240" w:lineRule="auto"/>
        <w:jc w:val="both"/>
        <w:rPr>
          <w:rFonts w:ascii="Calibri" w:eastAsia="Times New Roman" w:hAnsi="Calibri" w:cs="Calibri"/>
          <w:color w:val="000000"/>
        </w:rPr>
      </w:pPr>
    </w:p>
    <w:p w:rsidR="00E265B0" w:rsidRPr="003467DB" w:rsidRDefault="00E265B0" w:rsidP="00E265B0">
      <w:pPr>
        <w:spacing w:after="0" w:line="240" w:lineRule="auto"/>
        <w:jc w:val="both"/>
        <w:rPr>
          <w:rFonts w:ascii="Calibri" w:eastAsia="Times New Roman" w:hAnsi="Calibri" w:cs="Calibri"/>
          <w:color w:val="000000"/>
        </w:rPr>
      </w:pPr>
    </w:p>
    <w:p w:rsidR="00E265B0" w:rsidRDefault="00E265B0" w:rsidP="00E265B0">
      <w:pPr>
        <w:pStyle w:val="Pojem"/>
        <w:rPr>
          <w:lang w:val="en-GB"/>
        </w:rPr>
      </w:pPr>
      <w:r>
        <w:rPr>
          <w:lang w:val="en-GB"/>
        </w:rPr>
        <w:t>Duration</w:t>
      </w:r>
    </w:p>
    <w:p w:rsidR="00E265B0" w:rsidRDefault="00E265B0" w:rsidP="00E265B0">
      <w:pPr>
        <w:spacing w:after="0" w:line="240" w:lineRule="auto"/>
        <w:jc w:val="both"/>
        <w:rPr>
          <w:lang w:val="en"/>
        </w:rPr>
      </w:pPr>
      <w:r w:rsidRPr="00A97C58">
        <w:rPr>
          <w:b/>
          <w:lang w:val="en"/>
        </w:rPr>
        <w:t>Duration</w:t>
      </w:r>
      <w:r>
        <w:rPr>
          <w:lang w:val="en"/>
        </w:rPr>
        <w:t xml:space="preserve"> is a significant indicator used in interest rate risk management. It represents the average time period over which an investor receives all future income on a bond. It is constructed as a weighted average of individual periods, where the weights are the present values of the future income of the corresponding individual periods. Simply expressed, it is average time period needed to cover invested amount by income from the investment.</w:t>
      </w:r>
    </w:p>
    <w:p w:rsidR="00E265B0" w:rsidRPr="008C00A5" w:rsidRDefault="00E265B0" w:rsidP="00E265B0">
      <w:pPr>
        <w:spacing w:after="0" w:line="240" w:lineRule="auto"/>
        <w:jc w:val="both"/>
        <w:rPr>
          <w:rFonts w:ascii="Calibri" w:eastAsia="Times New Roman" w:hAnsi="Calibri" w:cs="Calibri"/>
          <w:bCs/>
          <w:color w:val="000000"/>
          <w:lang w:val="en-GB"/>
        </w:rPr>
      </w:pPr>
      <w:r>
        <w:rPr>
          <w:lang w:val="en"/>
        </w:rPr>
        <w:t>As the duration grows, the risk associated with investing in the bond increases.</w:t>
      </w:r>
    </w:p>
    <w:p w:rsidR="00E265B0" w:rsidRDefault="00E265B0" w:rsidP="00E265B0">
      <w:pPr>
        <w:spacing w:after="0" w:line="240" w:lineRule="auto"/>
        <w:jc w:val="both"/>
        <w:rPr>
          <w:rFonts w:ascii="Calibri" w:eastAsia="Times New Roman" w:hAnsi="Calibri" w:cs="Calibri"/>
          <w:bCs/>
          <w:color w:val="000000"/>
          <w:lang w:val="en-GB"/>
        </w:rPr>
      </w:pPr>
      <w:r>
        <w:rPr>
          <w:rFonts w:ascii="Calibri" w:eastAsia="Times New Roman" w:hAnsi="Calibri" w:cs="Calibri"/>
          <w:bCs/>
          <w:color w:val="000000"/>
          <w:lang w:val="en-GB"/>
        </w:rPr>
        <w:t>The higher the duration, the more sensitive to change in interest rate the bond is.</w:t>
      </w:r>
    </w:p>
    <w:p w:rsidR="00E265B0" w:rsidRDefault="00E265B0" w:rsidP="00E265B0">
      <w:pPr>
        <w:spacing w:after="0" w:line="240" w:lineRule="auto"/>
        <w:jc w:val="both"/>
        <w:rPr>
          <w:rFonts w:ascii="Calibri" w:eastAsia="Times New Roman" w:hAnsi="Calibri" w:cs="Calibri"/>
          <w:bCs/>
          <w:color w:val="000000"/>
          <w:lang w:val="en-GB"/>
        </w:rPr>
      </w:pPr>
    </w:p>
    <w:p w:rsidR="00E265B0" w:rsidRPr="00500BB4" w:rsidRDefault="00E265B0" w:rsidP="00E265B0">
      <w:pPr>
        <w:ind w:left="708" w:firstLine="708"/>
        <w:rPr>
          <w:lang w:val="en"/>
        </w:rPr>
      </w:pPr>
      <m:oMathPara>
        <m:oMathParaPr>
          <m:jc m:val="left"/>
        </m:oMathParaPr>
        <m:oMath>
          <m:r>
            <w:rPr>
              <w:rFonts w:ascii="Cambria Math" w:hAnsi="Cambria Math"/>
              <w:lang w:val="en"/>
            </w:rPr>
            <m:t>D=</m:t>
          </m:r>
          <m:nary>
            <m:naryPr>
              <m:chr m:val="∑"/>
              <m:limLoc m:val="undOvr"/>
              <m:ctrlPr>
                <w:rPr>
                  <w:rFonts w:ascii="Cambria Math" w:hAnsi="Cambria Math"/>
                  <w:i/>
                  <w:lang w:val="en"/>
                </w:rPr>
              </m:ctrlPr>
            </m:naryPr>
            <m:sub>
              <m:r>
                <w:rPr>
                  <w:rFonts w:ascii="Cambria Math" w:hAnsi="Cambria Math"/>
                  <w:lang w:val="en"/>
                </w:rPr>
                <m:t>i=1</m:t>
              </m:r>
            </m:sub>
            <m:sup>
              <m:r>
                <w:rPr>
                  <w:rFonts w:ascii="Cambria Math" w:hAnsi="Cambria Math"/>
                  <w:lang w:val="en"/>
                </w:rPr>
                <m:t>n</m:t>
              </m:r>
            </m:sup>
            <m:e>
              <m:sSub>
                <m:sSubPr>
                  <m:ctrlPr>
                    <w:rPr>
                      <w:rFonts w:ascii="Cambria Math" w:hAnsi="Cambria Math"/>
                      <w:i/>
                      <w:lang w:val="en"/>
                    </w:rPr>
                  </m:ctrlPr>
                </m:sSubPr>
                <m:e>
                  <m:r>
                    <w:rPr>
                      <w:rFonts w:ascii="Cambria Math" w:hAnsi="Cambria Math"/>
                      <w:lang w:val="en"/>
                    </w:rPr>
                    <m:t>t</m:t>
                  </m:r>
                </m:e>
                <m:sub>
                  <m:r>
                    <w:rPr>
                      <w:rFonts w:ascii="Cambria Math" w:hAnsi="Cambria Math"/>
                      <w:lang w:val="en"/>
                    </w:rPr>
                    <m:t>i</m:t>
                  </m:r>
                </m:sub>
              </m:sSub>
              <m:f>
                <m:fPr>
                  <m:ctrlPr>
                    <w:rPr>
                      <w:rFonts w:ascii="Cambria Math" w:hAnsi="Cambria Math"/>
                      <w:i/>
                      <w:lang w:val="en"/>
                    </w:rPr>
                  </m:ctrlPr>
                </m:fPr>
                <m:num>
                  <m:sSub>
                    <m:sSubPr>
                      <m:ctrlPr>
                        <w:rPr>
                          <w:rFonts w:ascii="Cambria Math" w:hAnsi="Cambria Math"/>
                          <w:i/>
                          <w:lang w:val="en"/>
                        </w:rPr>
                      </m:ctrlPr>
                    </m:sSubPr>
                    <m:e>
                      <m:r>
                        <w:rPr>
                          <w:rFonts w:ascii="Cambria Math" w:hAnsi="Cambria Math"/>
                          <w:lang w:val="en"/>
                        </w:rPr>
                        <m:t>CF</m:t>
                      </m:r>
                    </m:e>
                    <m:sub>
                      <m:r>
                        <w:rPr>
                          <w:rFonts w:ascii="Cambria Math" w:hAnsi="Cambria Math"/>
                          <w:lang w:val="en"/>
                        </w:rPr>
                        <m:t>i</m:t>
                      </m:r>
                    </m:sub>
                  </m:sSub>
                  <m:r>
                    <w:rPr>
                      <w:rFonts w:ascii="Cambria Math" w:hAnsi="Cambria Math"/>
                      <w:lang w:val="en"/>
                    </w:rPr>
                    <m:t>∙</m:t>
                  </m:r>
                  <m:sSup>
                    <m:sSupPr>
                      <m:ctrlPr>
                        <w:rPr>
                          <w:rFonts w:ascii="Cambria Math" w:hAnsi="Cambria Math"/>
                          <w:i/>
                          <w:lang w:val="en"/>
                        </w:rPr>
                      </m:ctrlPr>
                    </m:sSupPr>
                    <m:e>
                      <m:r>
                        <w:rPr>
                          <w:rFonts w:ascii="Cambria Math" w:hAnsi="Cambria Math"/>
                          <w:lang w:val="en"/>
                        </w:rPr>
                        <m:t>e</m:t>
                      </m:r>
                    </m:e>
                    <m:sup>
                      <m:r>
                        <w:rPr>
                          <w:rFonts w:ascii="Cambria Math" w:hAnsi="Cambria Math"/>
                          <w:lang w:val="en"/>
                        </w:rPr>
                        <m:t>-y∙</m:t>
                      </m:r>
                      <m:sSub>
                        <m:sSubPr>
                          <m:ctrlPr>
                            <w:rPr>
                              <w:rFonts w:ascii="Cambria Math" w:hAnsi="Cambria Math"/>
                              <w:i/>
                              <w:lang w:val="en"/>
                            </w:rPr>
                          </m:ctrlPr>
                        </m:sSubPr>
                        <m:e>
                          <m:r>
                            <w:rPr>
                              <w:rFonts w:ascii="Cambria Math" w:hAnsi="Cambria Math"/>
                              <w:lang w:val="en"/>
                            </w:rPr>
                            <m:t>t</m:t>
                          </m:r>
                        </m:e>
                        <m:sub>
                          <m:r>
                            <w:rPr>
                              <w:rFonts w:ascii="Cambria Math" w:hAnsi="Cambria Math"/>
                              <w:lang w:val="en"/>
                            </w:rPr>
                            <m:t>i</m:t>
                          </m:r>
                        </m:sub>
                      </m:sSub>
                    </m:sup>
                  </m:sSup>
                </m:num>
                <m:den>
                  <m:r>
                    <w:rPr>
                      <w:rFonts w:ascii="Cambria Math" w:hAnsi="Cambria Math"/>
                      <w:lang w:val="en"/>
                    </w:rPr>
                    <m:t>V</m:t>
                  </m:r>
                </m:den>
              </m:f>
            </m:e>
          </m:nary>
        </m:oMath>
      </m:oMathPara>
    </w:p>
    <w:p w:rsidR="00E265B0" w:rsidRPr="00500BB4" w:rsidRDefault="00E265B0" w:rsidP="00E265B0">
      <w:pPr>
        <w:spacing w:after="0" w:line="240" w:lineRule="auto"/>
        <w:jc w:val="both"/>
        <w:rPr>
          <w:rFonts w:ascii="Calibri" w:eastAsia="Times New Roman" w:hAnsi="Calibri" w:cs="Calibri"/>
          <w:bCs/>
          <w:color w:val="000000"/>
          <w:lang w:val="en-GB"/>
        </w:rPr>
      </w:pPr>
      <w:proofErr w:type="gramStart"/>
      <w:r w:rsidRPr="00500BB4">
        <w:rPr>
          <w:rFonts w:ascii="Calibri" w:eastAsia="Times New Roman" w:hAnsi="Calibri" w:cs="Calibri"/>
          <w:bCs/>
          <w:color w:val="000000"/>
          <w:lang w:val="en-GB"/>
        </w:rPr>
        <w:t>where</w:t>
      </w:r>
      <w:proofErr w:type="gramEnd"/>
      <w:r w:rsidRPr="00500BB4">
        <w:rPr>
          <w:rFonts w:ascii="Calibri" w:eastAsia="Times New Roman" w:hAnsi="Calibri" w:cs="Calibri"/>
          <w:bCs/>
          <w:color w:val="000000"/>
          <w:lang w:val="en-GB"/>
        </w:rPr>
        <w:t>:</w:t>
      </w:r>
    </w:p>
    <w:p w:rsidR="00E265B0" w:rsidRPr="00500BB4" w:rsidRDefault="00E265B0" w:rsidP="00E265B0">
      <w:pPr>
        <w:spacing w:after="0" w:line="240" w:lineRule="auto"/>
        <w:ind w:left="284"/>
        <w:jc w:val="both"/>
        <w:rPr>
          <w:rFonts w:ascii="Calibri" w:eastAsia="Times New Roman" w:hAnsi="Calibri" w:cs="Calibri"/>
          <w:bCs/>
          <w:color w:val="000000"/>
          <w:lang w:val="en-GB"/>
        </w:rPr>
      </w:pPr>
      <w:proofErr w:type="spellStart"/>
      <w:r w:rsidRPr="00500BB4">
        <w:rPr>
          <w:rFonts w:ascii="Calibri" w:eastAsia="Times New Roman" w:hAnsi="Calibri" w:cs="Calibri"/>
          <w:bCs/>
          <w:i/>
          <w:color w:val="000000"/>
          <w:lang w:val="en-GB"/>
        </w:rPr>
        <w:t>CF</w:t>
      </w:r>
      <w:r w:rsidRPr="00500BB4">
        <w:rPr>
          <w:rFonts w:ascii="Calibri" w:eastAsia="Times New Roman" w:hAnsi="Calibri" w:cs="Calibri"/>
          <w:bCs/>
          <w:i/>
          <w:color w:val="000000"/>
          <w:vertAlign w:val="subscript"/>
          <w:lang w:val="en-GB"/>
        </w:rPr>
        <w:t>i</w:t>
      </w:r>
      <w:proofErr w:type="spellEnd"/>
      <w:r>
        <w:rPr>
          <w:rFonts w:ascii="Calibri" w:eastAsia="Times New Roman" w:hAnsi="Calibri" w:cs="Calibri"/>
          <w:bCs/>
          <w:color w:val="000000"/>
          <w:lang w:val="en-GB"/>
        </w:rPr>
        <w:t xml:space="preserve"> </w:t>
      </w:r>
      <w:r w:rsidRPr="00500BB4">
        <w:rPr>
          <w:rFonts w:ascii="Calibri" w:eastAsia="Times New Roman" w:hAnsi="Calibri" w:cs="Calibri"/>
          <w:bCs/>
          <w:color w:val="000000"/>
          <w:lang w:val="en-GB"/>
        </w:rPr>
        <w:t xml:space="preserve">is the </w:t>
      </w:r>
      <w:hyperlink r:id="rId6" w:tooltip="Cash flow" w:history="1">
        <w:r w:rsidRPr="00500BB4">
          <w:rPr>
            <w:rFonts w:ascii="Calibri" w:eastAsia="Times New Roman" w:hAnsi="Calibri" w:cs="Calibri"/>
            <w:bCs/>
            <w:color w:val="000000"/>
            <w:lang w:val="en-GB"/>
          </w:rPr>
          <w:t>cash flow</w:t>
        </w:r>
      </w:hyperlink>
      <w:r w:rsidRPr="00500BB4">
        <w:rPr>
          <w:rFonts w:ascii="Calibri" w:eastAsia="Times New Roman" w:hAnsi="Calibri" w:cs="Calibri"/>
          <w:bCs/>
          <w:color w:val="000000"/>
          <w:lang w:val="en-GB"/>
        </w:rPr>
        <w:t xml:space="preserve"> of </w:t>
      </w:r>
      <w:proofErr w:type="gramStart"/>
      <w:r w:rsidRPr="00500BB4">
        <w:rPr>
          <w:rFonts w:ascii="Calibri" w:eastAsia="Times New Roman" w:hAnsi="Calibri" w:cs="Calibri"/>
          <w:bCs/>
          <w:color w:val="000000"/>
          <w:lang w:val="en-GB"/>
        </w:rPr>
        <w:t xml:space="preserve">the </w:t>
      </w:r>
      <w:proofErr w:type="spellStart"/>
      <w:r>
        <w:rPr>
          <w:rFonts w:ascii="Calibri" w:eastAsia="Times New Roman" w:hAnsi="Calibri" w:cs="Calibri"/>
          <w:bCs/>
          <w:color w:val="000000"/>
          <w:lang w:val="en-GB"/>
        </w:rPr>
        <w:t>i</w:t>
      </w:r>
      <w:proofErr w:type="gramEnd"/>
      <w:r>
        <w:rPr>
          <w:rFonts w:ascii="Calibri" w:eastAsia="Times New Roman" w:hAnsi="Calibri" w:cs="Calibri"/>
          <w:bCs/>
          <w:color w:val="000000"/>
          <w:lang w:val="en-GB"/>
        </w:rPr>
        <w:t>-</w:t>
      </w:r>
      <w:r w:rsidRPr="00500BB4">
        <w:rPr>
          <w:rFonts w:ascii="Calibri" w:eastAsia="Times New Roman" w:hAnsi="Calibri" w:cs="Calibri"/>
          <w:bCs/>
          <w:color w:val="000000"/>
          <w:lang w:val="en-GB"/>
        </w:rPr>
        <w:t>th</w:t>
      </w:r>
      <w:proofErr w:type="spellEnd"/>
      <w:r w:rsidRPr="00500BB4">
        <w:rPr>
          <w:rFonts w:ascii="Calibri" w:eastAsia="Times New Roman" w:hAnsi="Calibri" w:cs="Calibri"/>
          <w:bCs/>
          <w:color w:val="000000"/>
          <w:lang w:val="en-GB"/>
        </w:rPr>
        <w:t xml:space="preserve"> payment from an asset,</w:t>
      </w:r>
    </w:p>
    <w:p w:rsidR="00E265B0" w:rsidRPr="00500BB4" w:rsidRDefault="00E265B0" w:rsidP="00E265B0">
      <w:pPr>
        <w:pStyle w:val="Odstavecseseznamem"/>
        <w:spacing w:after="0" w:line="240" w:lineRule="auto"/>
        <w:ind w:left="284"/>
        <w:jc w:val="both"/>
        <w:rPr>
          <w:rFonts w:ascii="Calibri" w:eastAsia="Times New Roman" w:hAnsi="Calibri" w:cs="Calibri"/>
          <w:bCs/>
          <w:color w:val="000000"/>
          <w:lang w:val="en-GB"/>
        </w:rPr>
      </w:pPr>
      <w:proofErr w:type="spellStart"/>
      <w:proofErr w:type="gramStart"/>
      <w:r w:rsidRPr="00500BB4">
        <w:rPr>
          <w:rFonts w:ascii="Calibri" w:eastAsia="Times New Roman" w:hAnsi="Calibri" w:cs="Calibri"/>
          <w:bCs/>
          <w:i/>
          <w:color w:val="000000"/>
          <w:lang w:val="en-GB"/>
        </w:rPr>
        <w:t>t</w:t>
      </w:r>
      <w:r w:rsidRPr="00500BB4">
        <w:rPr>
          <w:rFonts w:ascii="Calibri" w:eastAsia="Times New Roman" w:hAnsi="Calibri" w:cs="Calibri"/>
          <w:bCs/>
          <w:i/>
          <w:color w:val="000000"/>
          <w:vertAlign w:val="subscript"/>
          <w:lang w:val="en-GB"/>
        </w:rPr>
        <w:t>i</w:t>
      </w:r>
      <w:proofErr w:type="spellEnd"/>
      <w:proofErr w:type="gramEnd"/>
      <w:r>
        <w:rPr>
          <w:rFonts w:ascii="Calibri" w:eastAsia="Times New Roman" w:hAnsi="Calibri" w:cs="Calibri"/>
          <w:bCs/>
          <w:color w:val="000000"/>
          <w:lang w:val="en-GB"/>
        </w:rPr>
        <w:t xml:space="preserve"> </w:t>
      </w:r>
      <w:r w:rsidRPr="00500BB4">
        <w:rPr>
          <w:rFonts w:ascii="Calibri" w:eastAsia="Times New Roman" w:hAnsi="Calibri" w:cs="Calibri"/>
          <w:bCs/>
          <w:color w:val="000000"/>
          <w:lang w:val="en-GB"/>
        </w:rPr>
        <w:t xml:space="preserve">is the time in years until the </w:t>
      </w:r>
      <w:proofErr w:type="spellStart"/>
      <w:r>
        <w:rPr>
          <w:rFonts w:eastAsia="Times New Roman"/>
          <w:lang w:val="en-GB"/>
        </w:rPr>
        <w:t>i-</w:t>
      </w:r>
      <w:r w:rsidRPr="00500BB4">
        <w:rPr>
          <w:rFonts w:ascii="Calibri" w:eastAsia="Times New Roman" w:hAnsi="Calibri" w:cs="Calibri"/>
          <w:bCs/>
          <w:color w:val="000000"/>
          <w:lang w:val="en-GB"/>
        </w:rPr>
        <w:t>th</w:t>
      </w:r>
      <w:proofErr w:type="spellEnd"/>
      <w:r w:rsidRPr="00500BB4">
        <w:rPr>
          <w:rFonts w:ascii="Calibri" w:eastAsia="Times New Roman" w:hAnsi="Calibri" w:cs="Calibri"/>
          <w:bCs/>
          <w:color w:val="000000"/>
          <w:lang w:val="en-GB"/>
        </w:rPr>
        <w:t xml:space="preserve"> payment will be received,</w:t>
      </w:r>
    </w:p>
    <w:p w:rsidR="00E265B0" w:rsidRPr="00500BB4" w:rsidRDefault="00E265B0" w:rsidP="00E265B0">
      <w:pPr>
        <w:pStyle w:val="Odstavecseseznamem"/>
        <w:spacing w:after="0" w:line="240" w:lineRule="auto"/>
        <w:ind w:left="284"/>
        <w:jc w:val="both"/>
        <w:rPr>
          <w:rFonts w:ascii="Calibri" w:eastAsia="Times New Roman" w:hAnsi="Calibri" w:cs="Calibri"/>
          <w:bCs/>
          <w:color w:val="000000"/>
          <w:lang w:val="en-GB"/>
        </w:rPr>
      </w:pPr>
      <w:proofErr w:type="gramStart"/>
      <w:r w:rsidRPr="00500BB4">
        <w:rPr>
          <w:rFonts w:eastAsia="Times New Roman"/>
          <w:i/>
          <w:lang w:val="en-GB"/>
        </w:rPr>
        <w:t>y</w:t>
      </w:r>
      <w:proofErr w:type="gramEnd"/>
      <w:r>
        <w:rPr>
          <w:rFonts w:eastAsia="Times New Roman"/>
          <w:lang w:val="en-GB"/>
        </w:rPr>
        <w:t xml:space="preserve"> </w:t>
      </w:r>
      <w:r w:rsidRPr="00500BB4">
        <w:rPr>
          <w:rFonts w:ascii="Calibri" w:eastAsia="Times New Roman" w:hAnsi="Calibri" w:cs="Calibri"/>
          <w:bCs/>
          <w:color w:val="000000"/>
          <w:lang w:val="en-GB"/>
        </w:rPr>
        <w:t>is the yield to maturity,</w:t>
      </w:r>
    </w:p>
    <w:p w:rsidR="00E265B0" w:rsidRPr="0036145D" w:rsidRDefault="00E265B0" w:rsidP="00E265B0">
      <w:pPr>
        <w:spacing w:after="0" w:line="240" w:lineRule="auto"/>
        <w:ind w:left="284"/>
        <w:jc w:val="both"/>
        <w:rPr>
          <w:rFonts w:ascii="Calibri" w:eastAsia="Times New Roman" w:hAnsi="Calibri" w:cs="Calibri"/>
          <w:bCs/>
          <w:color w:val="000000"/>
          <w:lang w:val="en-GB"/>
        </w:rPr>
      </w:pPr>
      <w:r w:rsidRPr="00500BB4">
        <w:rPr>
          <w:rFonts w:ascii="Calibri" w:eastAsia="Times New Roman" w:hAnsi="Calibri" w:cs="Calibri"/>
          <w:bCs/>
          <w:i/>
          <w:color w:val="000000"/>
          <w:lang w:val="en-GB"/>
        </w:rPr>
        <w:t>V</w:t>
      </w:r>
      <w:r>
        <w:rPr>
          <w:rFonts w:ascii="Calibri" w:eastAsia="Times New Roman" w:hAnsi="Calibri" w:cs="Calibri"/>
          <w:bCs/>
          <w:color w:val="000000"/>
          <w:lang w:val="en-GB"/>
        </w:rPr>
        <w:t xml:space="preserve"> </w:t>
      </w:r>
      <w:r w:rsidRPr="00500BB4">
        <w:rPr>
          <w:rFonts w:ascii="Calibri" w:eastAsia="Times New Roman" w:hAnsi="Calibri" w:cs="Calibri"/>
          <w:bCs/>
          <w:color w:val="000000"/>
          <w:lang w:val="en-GB"/>
        </w:rPr>
        <w:t>is the present value of all cash payments from the asset until maturity.</w:t>
      </w:r>
    </w:p>
    <w:p w:rsidR="0022284E" w:rsidRDefault="0022284E">
      <w:bookmarkStart w:id="0" w:name="_GoBack"/>
      <w:bookmarkEnd w:id="0"/>
    </w:p>
    <w:sectPr w:rsidR="0022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B0"/>
    <w:rsid w:val="00000F6A"/>
    <w:rsid w:val="00006244"/>
    <w:rsid w:val="00010025"/>
    <w:rsid w:val="0001225F"/>
    <w:rsid w:val="00021E6A"/>
    <w:rsid w:val="000241E0"/>
    <w:rsid w:val="00027BD3"/>
    <w:rsid w:val="000301B1"/>
    <w:rsid w:val="00030EDC"/>
    <w:rsid w:val="00037FD4"/>
    <w:rsid w:val="00050F1E"/>
    <w:rsid w:val="00051CFD"/>
    <w:rsid w:val="0006787D"/>
    <w:rsid w:val="0007413D"/>
    <w:rsid w:val="000749EF"/>
    <w:rsid w:val="00076705"/>
    <w:rsid w:val="00092508"/>
    <w:rsid w:val="00094822"/>
    <w:rsid w:val="00095B85"/>
    <w:rsid w:val="000960F3"/>
    <w:rsid w:val="000A41E5"/>
    <w:rsid w:val="000A4A42"/>
    <w:rsid w:val="000A7D15"/>
    <w:rsid w:val="000B00C0"/>
    <w:rsid w:val="000B5A99"/>
    <w:rsid w:val="000B668E"/>
    <w:rsid w:val="000B6E0E"/>
    <w:rsid w:val="000C7E89"/>
    <w:rsid w:val="000E057A"/>
    <w:rsid w:val="000E43CE"/>
    <w:rsid w:val="000E45BE"/>
    <w:rsid w:val="000E47D7"/>
    <w:rsid w:val="000E4B86"/>
    <w:rsid w:val="000E7CAF"/>
    <w:rsid w:val="00100CFE"/>
    <w:rsid w:val="00107761"/>
    <w:rsid w:val="00112EA6"/>
    <w:rsid w:val="0011682C"/>
    <w:rsid w:val="00123F44"/>
    <w:rsid w:val="001304F3"/>
    <w:rsid w:val="00133929"/>
    <w:rsid w:val="00146EC5"/>
    <w:rsid w:val="00150388"/>
    <w:rsid w:val="00150C34"/>
    <w:rsid w:val="0015228D"/>
    <w:rsid w:val="00152F05"/>
    <w:rsid w:val="0015377C"/>
    <w:rsid w:val="00163E4F"/>
    <w:rsid w:val="00173781"/>
    <w:rsid w:val="0017509A"/>
    <w:rsid w:val="00176892"/>
    <w:rsid w:val="00185B97"/>
    <w:rsid w:val="001907B6"/>
    <w:rsid w:val="001915C6"/>
    <w:rsid w:val="00196374"/>
    <w:rsid w:val="0019772D"/>
    <w:rsid w:val="001A33AD"/>
    <w:rsid w:val="001A4F88"/>
    <w:rsid w:val="001A7D3C"/>
    <w:rsid w:val="001B6476"/>
    <w:rsid w:val="001C07E3"/>
    <w:rsid w:val="001C1A99"/>
    <w:rsid w:val="001C3A68"/>
    <w:rsid w:val="001C51E7"/>
    <w:rsid w:val="001C7309"/>
    <w:rsid w:val="001C7A4C"/>
    <w:rsid w:val="001D0A82"/>
    <w:rsid w:val="001D41CF"/>
    <w:rsid w:val="001E5F32"/>
    <w:rsid w:val="001E7F1A"/>
    <w:rsid w:val="001F48C3"/>
    <w:rsid w:val="002022BA"/>
    <w:rsid w:val="00206950"/>
    <w:rsid w:val="002075D0"/>
    <w:rsid w:val="002077C9"/>
    <w:rsid w:val="00210EE9"/>
    <w:rsid w:val="002117C7"/>
    <w:rsid w:val="002215EA"/>
    <w:rsid w:val="0022284E"/>
    <w:rsid w:val="00224E66"/>
    <w:rsid w:val="00237BDA"/>
    <w:rsid w:val="002401D7"/>
    <w:rsid w:val="00240FAE"/>
    <w:rsid w:val="0024353B"/>
    <w:rsid w:val="00245F18"/>
    <w:rsid w:val="00247084"/>
    <w:rsid w:val="00254AE9"/>
    <w:rsid w:val="00271A63"/>
    <w:rsid w:val="0027570D"/>
    <w:rsid w:val="00275B8B"/>
    <w:rsid w:val="002762D5"/>
    <w:rsid w:val="0029280C"/>
    <w:rsid w:val="002A070D"/>
    <w:rsid w:val="002A34EF"/>
    <w:rsid w:val="002A7B28"/>
    <w:rsid w:val="002B4C24"/>
    <w:rsid w:val="002C0BAF"/>
    <w:rsid w:val="002C4B9F"/>
    <w:rsid w:val="002C676A"/>
    <w:rsid w:val="002D4EE3"/>
    <w:rsid w:val="002D5B3B"/>
    <w:rsid w:val="002D7DE1"/>
    <w:rsid w:val="002E6EE1"/>
    <w:rsid w:val="002E71C7"/>
    <w:rsid w:val="002F57F1"/>
    <w:rsid w:val="00302BF7"/>
    <w:rsid w:val="00304013"/>
    <w:rsid w:val="00312738"/>
    <w:rsid w:val="00312F94"/>
    <w:rsid w:val="00317041"/>
    <w:rsid w:val="00322F8C"/>
    <w:rsid w:val="0032331C"/>
    <w:rsid w:val="00327F39"/>
    <w:rsid w:val="003304FE"/>
    <w:rsid w:val="00331EAE"/>
    <w:rsid w:val="00335135"/>
    <w:rsid w:val="003408D0"/>
    <w:rsid w:val="00340F5C"/>
    <w:rsid w:val="00345596"/>
    <w:rsid w:val="00346B3C"/>
    <w:rsid w:val="0035535F"/>
    <w:rsid w:val="003621BA"/>
    <w:rsid w:val="00373777"/>
    <w:rsid w:val="00373E18"/>
    <w:rsid w:val="00375D47"/>
    <w:rsid w:val="003931D1"/>
    <w:rsid w:val="003960BD"/>
    <w:rsid w:val="00396CB1"/>
    <w:rsid w:val="00397BEB"/>
    <w:rsid w:val="003A2F23"/>
    <w:rsid w:val="003C44B1"/>
    <w:rsid w:val="003C5BE8"/>
    <w:rsid w:val="003C6AAA"/>
    <w:rsid w:val="003D0804"/>
    <w:rsid w:val="003D1100"/>
    <w:rsid w:val="003D6B55"/>
    <w:rsid w:val="003E0406"/>
    <w:rsid w:val="003F19DC"/>
    <w:rsid w:val="00402CA7"/>
    <w:rsid w:val="004034F2"/>
    <w:rsid w:val="004049E6"/>
    <w:rsid w:val="00414498"/>
    <w:rsid w:val="0042047E"/>
    <w:rsid w:val="00423B41"/>
    <w:rsid w:val="004245B3"/>
    <w:rsid w:val="004256B3"/>
    <w:rsid w:val="00430C54"/>
    <w:rsid w:val="00432BB4"/>
    <w:rsid w:val="00442679"/>
    <w:rsid w:val="00444D17"/>
    <w:rsid w:val="00445A28"/>
    <w:rsid w:val="0045022A"/>
    <w:rsid w:val="004652E2"/>
    <w:rsid w:val="0047206F"/>
    <w:rsid w:val="0047425B"/>
    <w:rsid w:val="00483B9C"/>
    <w:rsid w:val="0048481E"/>
    <w:rsid w:val="00486CEB"/>
    <w:rsid w:val="00490F90"/>
    <w:rsid w:val="0049197A"/>
    <w:rsid w:val="004921CE"/>
    <w:rsid w:val="00493CB5"/>
    <w:rsid w:val="00496018"/>
    <w:rsid w:val="0049659C"/>
    <w:rsid w:val="004974F5"/>
    <w:rsid w:val="004A3A21"/>
    <w:rsid w:val="004B228C"/>
    <w:rsid w:val="004B67DD"/>
    <w:rsid w:val="004C15C1"/>
    <w:rsid w:val="004D59D6"/>
    <w:rsid w:val="004E4F89"/>
    <w:rsid w:val="004F14FA"/>
    <w:rsid w:val="00505BA0"/>
    <w:rsid w:val="0050762F"/>
    <w:rsid w:val="0050790F"/>
    <w:rsid w:val="005109D8"/>
    <w:rsid w:val="00516C9E"/>
    <w:rsid w:val="00521A39"/>
    <w:rsid w:val="00521AAC"/>
    <w:rsid w:val="0053156A"/>
    <w:rsid w:val="00533092"/>
    <w:rsid w:val="00537356"/>
    <w:rsid w:val="00550780"/>
    <w:rsid w:val="00553516"/>
    <w:rsid w:val="005600D2"/>
    <w:rsid w:val="00570AF8"/>
    <w:rsid w:val="0057224A"/>
    <w:rsid w:val="00583F3D"/>
    <w:rsid w:val="00587173"/>
    <w:rsid w:val="0059029F"/>
    <w:rsid w:val="00596399"/>
    <w:rsid w:val="005B075C"/>
    <w:rsid w:val="005B1880"/>
    <w:rsid w:val="005C08C4"/>
    <w:rsid w:val="005D3F5A"/>
    <w:rsid w:val="005E3C00"/>
    <w:rsid w:val="005E7C1B"/>
    <w:rsid w:val="005F3F30"/>
    <w:rsid w:val="005F5FD6"/>
    <w:rsid w:val="005F7A58"/>
    <w:rsid w:val="0060349B"/>
    <w:rsid w:val="0060388C"/>
    <w:rsid w:val="00604DC8"/>
    <w:rsid w:val="0061125E"/>
    <w:rsid w:val="006121FF"/>
    <w:rsid w:val="00612609"/>
    <w:rsid w:val="00612971"/>
    <w:rsid w:val="006130D8"/>
    <w:rsid w:val="00614FA6"/>
    <w:rsid w:val="00616C77"/>
    <w:rsid w:val="00620851"/>
    <w:rsid w:val="00626F18"/>
    <w:rsid w:val="00627829"/>
    <w:rsid w:val="00632579"/>
    <w:rsid w:val="00633181"/>
    <w:rsid w:val="00640819"/>
    <w:rsid w:val="006446ED"/>
    <w:rsid w:val="0064722D"/>
    <w:rsid w:val="006504EF"/>
    <w:rsid w:val="00652BE4"/>
    <w:rsid w:val="00655FF1"/>
    <w:rsid w:val="00662028"/>
    <w:rsid w:val="006651B8"/>
    <w:rsid w:val="006677EC"/>
    <w:rsid w:val="00667D55"/>
    <w:rsid w:val="00673C58"/>
    <w:rsid w:val="0067723A"/>
    <w:rsid w:val="0069019E"/>
    <w:rsid w:val="00693A88"/>
    <w:rsid w:val="006C0B18"/>
    <w:rsid w:val="006C10EB"/>
    <w:rsid w:val="006C3CDC"/>
    <w:rsid w:val="006C7524"/>
    <w:rsid w:val="006C7E9E"/>
    <w:rsid w:val="006D08A2"/>
    <w:rsid w:val="006F448C"/>
    <w:rsid w:val="006F4CC5"/>
    <w:rsid w:val="006F51DA"/>
    <w:rsid w:val="006F6DF5"/>
    <w:rsid w:val="00714390"/>
    <w:rsid w:val="00716D89"/>
    <w:rsid w:val="00717D2E"/>
    <w:rsid w:val="00724F91"/>
    <w:rsid w:val="00731027"/>
    <w:rsid w:val="00741A16"/>
    <w:rsid w:val="00742924"/>
    <w:rsid w:val="00745A0A"/>
    <w:rsid w:val="00764A27"/>
    <w:rsid w:val="007860C7"/>
    <w:rsid w:val="0079439D"/>
    <w:rsid w:val="007A6B52"/>
    <w:rsid w:val="007C069E"/>
    <w:rsid w:val="007C2537"/>
    <w:rsid w:val="007C3320"/>
    <w:rsid w:val="007D6BFA"/>
    <w:rsid w:val="007E27F2"/>
    <w:rsid w:val="007E3C33"/>
    <w:rsid w:val="007E4512"/>
    <w:rsid w:val="00804D17"/>
    <w:rsid w:val="00807933"/>
    <w:rsid w:val="00814D49"/>
    <w:rsid w:val="00822DE4"/>
    <w:rsid w:val="008233B2"/>
    <w:rsid w:val="00842DA1"/>
    <w:rsid w:val="008520F3"/>
    <w:rsid w:val="008535E2"/>
    <w:rsid w:val="008537AF"/>
    <w:rsid w:val="00855B2F"/>
    <w:rsid w:val="00856D26"/>
    <w:rsid w:val="00856F38"/>
    <w:rsid w:val="00867CCF"/>
    <w:rsid w:val="008712AB"/>
    <w:rsid w:val="00883E17"/>
    <w:rsid w:val="008919B6"/>
    <w:rsid w:val="00896BF7"/>
    <w:rsid w:val="008A13D2"/>
    <w:rsid w:val="008C124E"/>
    <w:rsid w:val="008D0E1D"/>
    <w:rsid w:val="008D7E0B"/>
    <w:rsid w:val="008E3A92"/>
    <w:rsid w:val="008E5C93"/>
    <w:rsid w:val="009002C5"/>
    <w:rsid w:val="00906127"/>
    <w:rsid w:val="00907FF5"/>
    <w:rsid w:val="0091145B"/>
    <w:rsid w:val="00911E2F"/>
    <w:rsid w:val="009144C4"/>
    <w:rsid w:val="009171B2"/>
    <w:rsid w:val="009214E5"/>
    <w:rsid w:val="00927C90"/>
    <w:rsid w:val="00930486"/>
    <w:rsid w:val="00936195"/>
    <w:rsid w:val="009501EF"/>
    <w:rsid w:val="00954FAD"/>
    <w:rsid w:val="009618BE"/>
    <w:rsid w:val="009621FF"/>
    <w:rsid w:val="009626A3"/>
    <w:rsid w:val="00964AAE"/>
    <w:rsid w:val="009672E1"/>
    <w:rsid w:val="00970547"/>
    <w:rsid w:val="00970907"/>
    <w:rsid w:val="00986CA5"/>
    <w:rsid w:val="00990179"/>
    <w:rsid w:val="00996E99"/>
    <w:rsid w:val="00997272"/>
    <w:rsid w:val="009A4421"/>
    <w:rsid w:val="009A7282"/>
    <w:rsid w:val="009C081B"/>
    <w:rsid w:val="009C08D4"/>
    <w:rsid w:val="009C5529"/>
    <w:rsid w:val="009C6DF6"/>
    <w:rsid w:val="009D053E"/>
    <w:rsid w:val="009D08CA"/>
    <w:rsid w:val="009D195A"/>
    <w:rsid w:val="009D4C64"/>
    <w:rsid w:val="009D4ECA"/>
    <w:rsid w:val="009E2918"/>
    <w:rsid w:val="009E7E8B"/>
    <w:rsid w:val="009F5043"/>
    <w:rsid w:val="00A15538"/>
    <w:rsid w:val="00A16642"/>
    <w:rsid w:val="00A22D74"/>
    <w:rsid w:val="00A34C8A"/>
    <w:rsid w:val="00A36D07"/>
    <w:rsid w:val="00A37C8C"/>
    <w:rsid w:val="00A407C0"/>
    <w:rsid w:val="00A41ADC"/>
    <w:rsid w:val="00A471AB"/>
    <w:rsid w:val="00A47586"/>
    <w:rsid w:val="00A574A0"/>
    <w:rsid w:val="00A6755C"/>
    <w:rsid w:val="00A7244D"/>
    <w:rsid w:val="00A75376"/>
    <w:rsid w:val="00A80E21"/>
    <w:rsid w:val="00A90BEA"/>
    <w:rsid w:val="00A913D7"/>
    <w:rsid w:val="00A94C25"/>
    <w:rsid w:val="00AB1510"/>
    <w:rsid w:val="00AB387D"/>
    <w:rsid w:val="00AB52E3"/>
    <w:rsid w:val="00AB6342"/>
    <w:rsid w:val="00AB6D62"/>
    <w:rsid w:val="00AB78C5"/>
    <w:rsid w:val="00AB7D2C"/>
    <w:rsid w:val="00AC058F"/>
    <w:rsid w:val="00AC0925"/>
    <w:rsid w:val="00AC6383"/>
    <w:rsid w:val="00AD2E20"/>
    <w:rsid w:val="00AD3313"/>
    <w:rsid w:val="00AE402B"/>
    <w:rsid w:val="00AE5615"/>
    <w:rsid w:val="00B06B6B"/>
    <w:rsid w:val="00B1071D"/>
    <w:rsid w:val="00B11660"/>
    <w:rsid w:val="00B1196C"/>
    <w:rsid w:val="00B20538"/>
    <w:rsid w:val="00B21F41"/>
    <w:rsid w:val="00B224F6"/>
    <w:rsid w:val="00B245C6"/>
    <w:rsid w:val="00B264F7"/>
    <w:rsid w:val="00B5086D"/>
    <w:rsid w:val="00B5230A"/>
    <w:rsid w:val="00B7051E"/>
    <w:rsid w:val="00B71BCD"/>
    <w:rsid w:val="00B73377"/>
    <w:rsid w:val="00B75D17"/>
    <w:rsid w:val="00B765F4"/>
    <w:rsid w:val="00B810F1"/>
    <w:rsid w:val="00B943F7"/>
    <w:rsid w:val="00B97ADB"/>
    <w:rsid w:val="00BA605C"/>
    <w:rsid w:val="00BB08E0"/>
    <w:rsid w:val="00BB3D79"/>
    <w:rsid w:val="00BB4802"/>
    <w:rsid w:val="00BB7033"/>
    <w:rsid w:val="00BC404A"/>
    <w:rsid w:val="00BC495A"/>
    <w:rsid w:val="00BE065A"/>
    <w:rsid w:val="00BE1A9D"/>
    <w:rsid w:val="00BE29C8"/>
    <w:rsid w:val="00BE56E9"/>
    <w:rsid w:val="00BF0F3E"/>
    <w:rsid w:val="00C109F9"/>
    <w:rsid w:val="00C14569"/>
    <w:rsid w:val="00C14D06"/>
    <w:rsid w:val="00C15DBB"/>
    <w:rsid w:val="00C2044F"/>
    <w:rsid w:val="00C21A4F"/>
    <w:rsid w:val="00C22C54"/>
    <w:rsid w:val="00C243B1"/>
    <w:rsid w:val="00C26CA0"/>
    <w:rsid w:val="00C30C33"/>
    <w:rsid w:val="00C415A4"/>
    <w:rsid w:val="00C5004E"/>
    <w:rsid w:val="00C53661"/>
    <w:rsid w:val="00C5410A"/>
    <w:rsid w:val="00C604EF"/>
    <w:rsid w:val="00C728B6"/>
    <w:rsid w:val="00C73ED8"/>
    <w:rsid w:val="00C81EA8"/>
    <w:rsid w:val="00C97F0A"/>
    <w:rsid w:val="00CA7637"/>
    <w:rsid w:val="00CB3015"/>
    <w:rsid w:val="00CB3155"/>
    <w:rsid w:val="00CB3E60"/>
    <w:rsid w:val="00CC053C"/>
    <w:rsid w:val="00CD549C"/>
    <w:rsid w:val="00CE2735"/>
    <w:rsid w:val="00CE687B"/>
    <w:rsid w:val="00CF631E"/>
    <w:rsid w:val="00D07BE6"/>
    <w:rsid w:val="00D11026"/>
    <w:rsid w:val="00D12D7E"/>
    <w:rsid w:val="00D20499"/>
    <w:rsid w:val="00D302B2"/>
    <w:rsid w:val="00D318FD"/>
    <w:rsid w:val="00D364AA"/>
    <w:rsid w:val="00D44DE4"/>
    <w:rsid w:val="00D5257F"/>
    <w:rsid w:val="00D551F3"/>
    <w:rsid w:val="00D57B32"/>
    <w:rsid w:val="00D671A8"/>
    <w:rsid w:val="00D90E22"/>
    <w:rsid w:val="00D91A7C"/>
    <w:rsid w:val="00D93042"/>
    <w:rsid w:val="00DA2F2B"/>
    <w:rsid w:val="00DB00A3"/>
    <w:rsid w:val="00DC208E"/>
    <w:rsid w:val="00DC3005"/>
    <w:rsid w:val="00DC3055"/>
    <w:rsid w:val="00DC751E"/>
    <w:rsid w:val="00DD0B18"/>
    <w:rsid w:val="00DD0E99"/>
    <w:rsid w:val="00DD2A9B"/>
    <w:rsid w:val="00DF245C"/>
    <w:rsid w:val="00DF5F92"/>
    <w:rsid w:val="00E00BF5"/>
    <w:rsid w:val="00E00FEE"/>
    <w:rsid w:val="00E025B8"/>
    <w:rsid w:val="00E02FFB"/>
    <w:rsid w:val="00E050B4"/>
    <w:rsid w:val="00E13889"/>
    <w:rsid w:val="00E17EDF"/>
    <w:rsid w:val="00E21C5A"/>
    <w:rsid w:val="00E265B0"/>
    <w:rsid w:val="00E27A41"/>
    <w:rsid w:val="00E31512"/>
    <w:rsid w:val="00E32936"/>
    <w:rsid w:val="00E33075"/>
    <w:rsid w:val="00E41D73"/>
    <w:rsid w:val="00E5398D"/>
    <w:rsid w:val="00E56F28"/>
    <w:rsid w:val="00E8650C"/>
    <w:rsid w:val="00EA0210"/>
    <w:rsid w:val="00EA0ADF"/>
    <w:rsid w:val="00EA0B21"/>
    <w:rsid w:val="00EA17B5"/>
    <w:rsid w:val="00EA17CE"/>
    <w:rsid w:val="00EA670B"/>
    <w:rsid w:val="00EA736A"/>
    <w:rsid w:val="00EB02B9"/>
    <w:rsid w:val="00EB0B99"/>
    <w:rsid w:val="00EB1C5D"/>
    <w:rsid w:val="00EB2F67"/>
    <w:rsid w:val="00EC0662"/>
    <w:rsid w:val="00EC0A4D"/>
    <w:rsid w:val="00EC1A03"/>
    <w:rsid w:val="00EC232E"/>
    <w:rsid w:val="00EC75D0"/>
    <w:rsid w:val="00ED4670"/>
    <w:rsid w:val="00ED5E29"/>
    <w:rsid w:val="00EE3045"/>
    <w:rsid w:val="00EE471C"/>
    <w:rsid w:val="00EE5447"/>
    <w:rsid w:val="00EE552D"/>
    <w:rsid w:val="00EF36FA"/>
    <w:rsid w:val="00EF3AE5"/>
    <w:rsid w:val="00EF542E"/>
    <w:rsid w:val="00F0107C"/>
    <w:rsid w:val="00F01A93"/>
    <w:rsid w:val="00F050C8"/>
    <w:rsid w:val="00F10BA0"/>
    <w:rsid w:val="00F11B21"/>
    <w:rsid w:val="00F12966"/>
    <w:rsid w:val="00F17048"/>
    <w:rsid w:val="00F22236"/>
    <w:rsid w:val="00F22988"/>
    <w:rsid w:val="00F23A7E"/>
    <w:rsid w:val="00F36DB6"/>
    <w:rsid w:val="00F50545"/>
    <w:rsid w:val="00F51AC7"/>
    <w:rsid w:val="00F53C46"/>
    <w:rsid w:val="00F53F71"/>
    <w:rsid w:val="00F56E2D"/>
    <w:rsid w:val="00F61842"/>
    <w:rsid w:val="00F6210A"/>
    <w:rsid w:val="00F645B1"/>
    <w:rsid w:val="00F67075"/>
    <w:rsid w:val="00F80AE4"/>
    <w:rsid w:val="00F823E3"/>
    <w:rsid w:val="00F8362F"/>
    <w:rsid w:val="00F8524B"/>
    <w:rsid w:val="00F857F2"/>
    <w:rsid w:val="00F959D9"/>
    <w:rsid w:val="00FA5087"/>
    <w:rsid w:val="00FA7704"/>
    <w:rsid w:val="00FB1F9B"/>
    <w:rsid w:val="00FB5060"/>
    <w:rsid w:val="00FC203D"/>
    <w:rsid w:val="00FC5251"/>
    <w:rsid w:val="00FE4807"/>
    <w:rsid w:val="00FF458F"/>
    <w:rsid w:val="00FF4FFC"/>
    <w:rsid w:val="00FF560F"/>
    <w:rsid w:val="00FF6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5B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jem">
    <w:name w:val="Pojem"/>
    <w:basedOn w:val="Normln"/>
    <w:link w:val="PojemChar"/>
    <w:qFormat/>
    <w:rsid w:val="00E265B0"/>
    <w:pPr>
      <w:spacing w:after="0" w:line="240" w:lineRule="auto"/>
      <w:jc w:val="both"/>
    </w:pPr>
    <w:rPr>
      <w:rFonts w:ascii="Calibri" w:eastAsia="Times New Roman" w:hAnsi="Calibri" w:cs="Calibri"/>
      <w:b/>
      <w:color w:val="000000"/>
      <w:sz w:val="28"/>
    </w:rPr>
  </w:style>
  <w:style w:type="paragraph" w:styleId="Odstavecseseznamem">
    <w:name w:val="List Paragraph"/>
    <w:basedOn w:val="Normln"/>
    <w:uiPriority w:val="34"/>
    <w:qFormat/>
    <w:rsid w:val="00E265B0"/>
    <w:pPr>
      <w:ind w:left="720"/>
      <w:contextualSpacing/>
    </w:pPr>
  </w:style>
  <w:style w:type="character" w:customStyle="1" w:styleId="PojemChar">
    <w:name w:val="Pojem Char"/>
    <w:basedOn w:val="Standardnpsmoodstavce"/>
    <w:link w:val="Pojem"/>
    <w:rsid w:val="00E265B0"/>
    <w:rPr>
      <w:rFonts w:ascii="Calibri" w:eastAsia="Times New Roman" w:hAnsi="Calibri" w:cs="Calibri"/>
      <w:b/>
      <w:color w:val="000000"/>
      <w:sz w:val="28"/>
      <w:lang w:eastAsia="cs-CZ"/>
    </w:rPr>
  </w:style>
  <w:style w:type="paragraph" w:styleId="Textbubliny">
    <w:name w:val="Balloon Text"/>
    <w:basedOn w:val="Normln"/>
    <w:link w:val="TextbublinyChar"/>
    <w:uiPriority w:val="99"/>
    <w:semiHidden/>
    <w:unhideWhenUsed/>
    <w:rsid w:val="00E265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5B0"/>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5B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jem">
    <w:name w:val="Pojem"/>
    <w:basedOn w:val="Normln"/>
    <w:link w:val="PojemChar"/>
    <w:qFormat/>
    <w:rsid w:val="00E265B0"/>
    <w:pPr>
      <w:spacing w:after="0" w:line="240" w:lineRule="auto"/>
      <w:jc w:val="both"/>
    </w:pPr>
    <w:rPr>
      <w:rFonts w:ascii="Calibri" w:eastAsia="Times New Roman" w:hAnsi="Calibri" w:cs="Calibri"/>
      <w:b/>
      <w:color w:val="000000"/>
      <w:sz w:val="28"/>
    </w:rPr>
  </w:style>
  <w:style w:type="paragraph" w:styleId="Odstavecseseznamem">
    <w:name w:val="List Paragraph"/>
    <w:basedOn w:val="Normln"/>
    <w:uiPriority w:val="34"/>
    <w:qFormat/>
    <w:rsid w:val="00E265B0"/>
    <w:pPr>
      <w:ind w:left="720"/>
      <w:contextualSpacing/>
    </w:pPr>
  </w:style>
  <w:style w:type="character" w:customStyle="1" w:styleId="PojemChar">
    <w:name w:val="Pojem Char"/>
    <w:basedOn w:val="Standardnpsmoodstavce"/>
    <w:link w:val="Pojem"/>
    <w:rsid w:val="00E265B0"/>
    <w:rPr>
      <w:rFonts w:ascii="Calibri" w:eastAsia="Times New Roman" w:hAnsi="Calibri" w:cs="Calibri"/>
      <w:b/>
      <w:color w:val="000000"/>
      <w:sz w:val="28"/>
      <w:lang w:eastAsia="cs-CZ"/>
    </w:rPr>
  </w:style>
  <w:style w:type="paragraph" w:styleId="Textbubliny">
    <w:name w:val="Balloon Text"/>
    <w:basedOn w:val="Normln"/>
    <w:link w:val="TextbublinyChar"/>
    <w:uiPriority w:val="99"/>
    <w:semiHidden/>
    <w:unhideWhenUsed/>
    <w:rsid w:val="00E265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5B0"/>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ash_flow" TargetMode="External"/><Relationship Id="rId5" Type="http://schemas.openxmlformats.org/officeDocument/2006/relationships/hyperlink" Target="http://cs.wikipedia.org/w/index.php?title=Macaulayova_durace&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1754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LK</cp:lastModifiedBy>
  <cp:revision>1</cp:revision>
  <dcterms:created xsi:type="dcterms:W3CDTF">2015-03-16T09:50:00Z</dcterms:created>
  <dcterms:modified xsi:type="dcterms:W3CDTF">2015-03-16T09:52:00Z</dcterms:modified>
</cp:coreProperties>
</file>